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4E3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ИЗБОРНОМ ВЕЋУ </w:t>
      </w:r>
    </w:p>
    <w:p w14:paraId="491EAA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ФИЛОЗОФСКОГ ФАКУЛТЕТА</w:t>
      </w:r>
    </w:p>
    <w:p w14:paraId="072EF5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Београд</w:t>
      </w:r>
    </w:p>
    <w:p w14:paraId="49D6D5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46EE5F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FE08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08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Одлуком Изборног већа Филозофског факултета у Београду од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>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 xml:space="preserve">јула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>24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. године изабрани смо у Комисију за припрему извештаја 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кандидатима који се пријаве на конкурс за избор у звање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ванредног професора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за ужу научну област ОПШТА ПЕДАГОГИЈА СА МЕТОДОЛОГИЈОМ И ИСТОРИЈА ПЕДАГОГИЈЕ, са пуним радним временом, на одређено време од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пет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годин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На конкурс, објављен у листу ''Послови'',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од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Latn-RS"/>
        </w:rPr>
        <w:t>17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 xml:space="preserve">јула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>24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CS"/>
        </w:rPr>
        <w:t>. године,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пријавио се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један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кандидат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-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Наташа Николић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, доцент 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Одељењу за педагогију и андрагогију Филозофског факултета у Београду. Пошто смо прегледали приложену документацију и проучили радове кандидата, у могућности смо да Изборном већу поднесемо следећи </w:t>
      </w:r>
    </w:p>
    <w:p w14:paraId="5DD920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1E50E0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И  З  В  Е  Ш  Т  А  Ј</w:t>
      </w:r>
    </w:p>
    <w:p w14:paraId="10487F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07B61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sr-Cyrl-CS"/>
        </w:rPr>
        <w:t>Наташа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sr-Cyrl-CS"/>
        </w:rPr>
        <w:t>Николић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рођена је 1988. године у Краљеву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, где је завршила основну и средњу школу.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Основне академске студије педагогије 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факултет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Универзитета у Београду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уписала је 2007. године, а завршила 30.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6.2011. године, са просечном оценом 9,03. На истом факултету завршила је мастер академске студије педагогије 11.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9.2012. године, са просечном оценом 9,67. Испите предвиђене програмом докторских студија педагогије положила је са просечном оценом 9,75.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Завршила је докторске студије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13.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Latn-RS"/>
        </w:rPr>
        <w:t>0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7.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201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8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. године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sr-Cyrl-RS"/>
        </w:rPr>
        <w:t>, о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дбранивши докторску дисертацију на тему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Квалитет проблемски оријентисане наставе и постигнуће ученика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</w:t>
      </w:r>
    </w:p>
    <w:p w14:paraId="2321A7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Филозофском факултету Универзитета у Београду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д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априла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2013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године ради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прво као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сарадник у настави и асистент, а од 2019. године бирана је у звање доцента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на Одељењу за педагогију и андрагогију, за ужу научну област Општа педагогија са методологијом и историја педагогије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 Ангажована је у настави на више предмета из области опште педагогије на основним студијама (Општа педагогија, Систем васпитања и образовања, Ваншколска педагогија, Рад са даровитим ученицима, Васпитање кроз уметност и спорт), мастер студијама (Морални развој и морално васпитање) и докторским студијама педагогије (Теорија и пракса моралног васпитања).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Просечна оцена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студентске евалуације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педагошког рада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за период од школске 201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9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/20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. до школске 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/20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23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. године износи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>4,81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макс. 5).</w:t>
      </w:r>
    </w:p>
    <w:p w14:paraId="0BB06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својству аутора или коаутора објави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ла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већи број научних радова и учествова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ла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на научним скуповима и форумима међународног и националног карактера, на којима су разматране актуелне педагошке теме и проблеми.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Била је ангажована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на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научно-истраживачком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пројекту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Института за педагогију и андрагогију чију реализацију подржава Министарство просвете, науке и технолошког развоја РС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Модели процењивања и стратегије унапређивања квалитета образовања у Србији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'', 2011-2019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и на пројекту Филозофског факултета Универзитета у Београду 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Човек и друштво у време кризе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, 2020).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У својству истраживача учествовала је на пројекту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Припрема будућих просветних радника за рад у инклузивном окружењу, билатерална сарадња Словеније-Србија, 2016-2017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''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Од 2019. године ч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лан је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програмског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одбора научних скупова који се одржавају у оквиру Сусрета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педагога, а које организују Институт за педагогију и андрагогију Филозофског факултета у Београду и Педагошко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друштво Србије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Од 2014. године до данас реализатор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CS"/>
        </w:rPr>
        <w:t xml:space="preserve">je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акредитованих програма за стручно усавршавање запослених у образовању (Методе и облици ефикасне наставе и учења и Оцењивање у функцији ефикасне наставе и учења).</w:t>
      </w:r>
    </w:p>
    <w:p w14:paraId="4E80A5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34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Са листе приложене библиографије кандидаткиње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изабрали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смо за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посебан приказ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>монографију и 5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рад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  <w:lang w:val="sr-Cyrl-RS"/>
        </w:rPr>
        <w:t>ова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које је кандидаткиња објавила:</w:t>
      </w:r>
    </w:p>
    <w:p w14:paraId="72BDB2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5B0239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40" w:lineRule="auto"/>
        <w:ind w:left="1200" w:leftChars="-5" w:hanging="1212" w:hangingChars="505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  <w:lang w:val="sr-Cyrl-RS"/>
        </w:rPr>
      </w:pP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Николић, Н. (2024). </w:t>
      </w:r>
      <w:r>
        <w:rPr>
          <w:rFonts w:hint="default" w:ascii="Times New Roman" w:hAnsi="Times New Roman" w:cs="Times New Roman"/>
          <w:i/>
          <w:iCs/>
          <w:szCs w:val="24"/>
          <w:highlight w:val="none"/>
          <w:lang w:val="sr-Cyrl-RS"/>
        </w:rPr>
        <w:t>Компетенције за решавање проблема: педагошка перспектива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>. Београд: Институт за педагогију и андрагогију.</w:t>
      </w:r>
    </w:p>
    <w:p w14:paraId="0E790A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1134" w:firstLineChars="0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  <w:lang w:val="sr-Cyrl-RS"/>
        </w:rPr>
      </w:pP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>Монографија „Компетенције за решавање проблема: педагошка</w:t>
      </w: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перспектива” настала је као одговор на потребу за проучавањем различитих питања која се тичу природе и основних карактеристика ученичких компетенција за решавање проблема, као и начина на које се оне развијају у школском контексту. Она настоји да са педагошког становишта понуди одговоре на важна питања: шта су </w:t>
      </w: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>компетенције за решавање проблема, зашто је значајно развијати их код ученика, која је улога школе у том процесу.</w:t>
      </w: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>Садржај монографије обухвата концептуална и терминолошка разјашњења појма компетенција за решавање проблема и њему сродних појмова, као и темељно проучавање њихове сложене природе. Осим тога, значајан део монографије посвећен је сагледавању школских чинилаца који могу допринети развоју ученичких компетенција за решавање проблема.</w:t>
      </w:r>
    </w:p>
    <w:p w14:paraId="480877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1134" w:firstLineChars="0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  <w:lang w:val="sr-Cyrl-RS"/>
        </w:rPr>
      </w:pP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>Теоријска разматрања показала су да је за развој компетенција  за решавање проблема неопходно на нивоу школског система изградити системску бригу о њиховом развоју и обезбедити свеобухватан приступ подршке. Почевши од тога да су компетенције за решавање проблема уграђене у законодавно-правну регулативу, па до тога да се у непосредној пракси оне препознају као неизоставни део свакодневног рада у школи. Њихов развој није могуће остварити низом  издвојених наставних активности које се повремено реализују или кроз део наставног програма који се реализује у одређеном периоду школовања. За њихов развој значајно је успоставити интегративни приступ који прожима различите аспекте васпитно-образовног рада и укључује различите интересне стране. Због тога је значајно остварити сарадњу између свих релевантних актера – од доносилаца одлука и стручњака за образовање до непосредних реализатора и ученика. Под сарадњом се подразумева координација активности које свако од актера реализује да би се створили услови за развој компетенција за решавање проблема, али мисли се и на развијање заједничког разумевања о томе шта су компетенције за решавање проблема, како се оне могу развијати у пракси и зашто је то важно. У том смислу, посебну пажњу треба посветити проучавању различитих чинилаца који доприносе остваривању овог циља. У овом раду, за ту сврху, издвојена су три чиниоца и анализирана је њихова улога, а то су: наставни програм, уџбеник и наставник. Наставни програм поставља оквире за развој компетенција за решавање проблема у оквиру одређене наставне дисциплине, наставници имају улогу да планирано спроведу у непосредној пракси, а уџбеници потенцијално представљају извор подршке и подстицаја за ученике, али и за наставнике у процесу остваривања овог циља.</w:t>
      </w:r>
    </w:p>
    <w:p w14:paraId="6B5F6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60" w:lineRule="auto"/>
        <w:ind w:left="1200" w:leftChars="-5" w:hanging="1212" w:hangingChars="505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</w:rPr>
      </w:pPr>
      <w:r>
        <w:rPr>
          <w:rFonts w:hint="default" w:ascii="Times New Roman" w:hAnsi="Times New Roman" w:cs="Times New Roman"/>
          <w:szCs w:val="24"/>
          <w:highlight w:val="none"/>
        </w:rPr>
        <w:t xml:space="preserve">Nikolić, N., &amp; Antonijević, R. (2023). Problem-Solving in Biology Teaching: Students’ Activities and Their Achievement. </w:t>
      </w:r>
      <w:r>
        <w:rPr>
          <w:rFonts w:hint="default" w:ascii="Times New Roman" w:hAnsi="Times New Roman" w:cs="Times New Roman"/>
          <w:i/>
          <w:iCs/>
          <w:szCs w:val="24"/>
          <w:highlight w:val="none"/>
        </w:rPr>
        <w:t>International Journal of Science and Mathematics Education</w:t>
      </w:r>
      <w:r>
        <w:rPr>
          <w:rFonts w:hint="default" w:ascii="Times New Roman" w:hAnsi="Times New Roman" w:cs="Times New Roman"/>
          <w:szCs w:val="24"/>
          <w:highlight w:val="none"/>
        </w:rPr>
        <w:t xml:space="preserve">, 1-21. </w:t>
      </w:r>
    </w:p>
    <w:p w14:paraId="281742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134"/>
        <w:jc w:val="both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У раду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hr-HR" w:eastAsia="zh-CN" w:bidi="ar"/>
        </w:rPr>
        <w:t>су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представљ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hr-HR" w:eastAsia="zh-CN" w:bidi="ar"/>
        </w:rPr>
        <w:t xml:space="preserve">ени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резултати емпиријског истраживања које је имало за циљ да опише и анализира процес решавања биолошких проблема кроз активности које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sr-Cyrl-RS" w:eastAsia="zh-CN" w:bidi="ar"/>
        </w:rPr>
        <w:t xml:space="preserve">ученици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>спроводе током процеса њиховог решавања, као и да се проучи како реализација ових активности утиче на ниво и квалитет постигнућа ученика у биологији. Прикупљање података извршено је применом техника анкетирања, скалирања и тестирања. У складу са тим, за потребе истраживања конструисани су анкетни упитник са Ликертовом скалом и тест знања из биологије. За анализу података коришћене су дескриптивна статистика, факторска анализа и Пирсонов коефицијент корелације. Узорак су чинили ученици осмог разреда из 72 школе у Србији (565 ученика). Факторска анализа је потврдила да се активности решавања проблема могу груписати у следеће области: (1) анализа и планирање решавања проблема; (2) откривање решења проблема; (3) евалуативне активности решавања проблема; (4) додатне активности које укључују дискусију о проблему; (5) степен самосталности ученика у процесу откривања решења проблема. Резултати показују да са повећањем учесталости реализације активности решавања проблема, расте и постигнуће ученика. У погледу квалитета постигнућа, у свим доменима – усвајање знања, разумевање и примена – пронађена је позитивна, али ниска корелација.</w:t>
      </w:r>
    </w:p>
    <w:p w14:paraId="3EC52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1201" w:leftChars="-5" w:hanging="1213" w:hangingChars="505"/>
        <w:jc w:val="both"/>
        <w:textAlignment w:val="auto"/>
        <w:rPr>
          <w:rFonts w:hint="default" w:ascii="Times New Roman" w:hAnsi="Times New Roman" w:cs="Times New Roman"/>
          <w:b/>
          <w:szCs w:val="24"/>
          <w:highlight w:val="none"/>
        </w:rPr>
      </w:pPr>
    </w:p>
    <w:p w14:paraId="681653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60" w:lineRule="auto"/>
        <w:ind w:left="1200" w:leftChars="-5" w:hanging="1212" w:hangingChars="505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  <w:lang w:val="sr-Latn-RS"/>
        </w:rPr>
      </w:pP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 xml:space="preserve">Николић, Н. (2023). Херменеутика као методолошки приступ истраживању у педагогији. </w:t>
      </w:r>
      <w:r>
        <w:rPr>
          <w:rFonts w:hint="default" w:ascii="Times New Roman" w:hAnsi="Times New Roman" w:cs="Times New Roman"/>
          <w:i/>
          <w:szCs w:val="24"/>
          <w:highlight w:val="none"/>
          <w:lang w:val="sr-Latn-RS"/>
        </w:rPr>
        <w:t>Иновације у настави - часопис за савремену наставу</w:t>
      </w: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 xml:space="preserve"> , </w:t>
      </w:r>
      <w:r>
        <w:rPr>
          <w:rFonts w:hint="default" w:ascii="Times New Roman" w:hAnsi="Times New Roman" w:cs="Times New Roman"/>
          <w:i/>
          <w:szCs w:val="24"/>
          <w:highlight w:val="none"/>
          <w:lang w:val="sr-Latn-RS"/>
        </w:rPr>
        <w:t>36</w:t>
      </w: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>(1), 150-161.</w:t>
      </w:r>
    </w:p>
    <w:p w14:paraId="3EF3B0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360" w:lineRule="auto"/>
        <w:ind w:left="0" w:firstLine="1134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Style w:val="10"/>
          <w:rFonts w:hint="default" w:ascii="Times New Roman" w:hAnsi="Times New Roman" w:cs="Times New Roman"/>
          <w:sz w:val="24"/>
          <w:szCs w:val="24"/>
          <w:lang w:val="ru-RU"/>
        </w:rPr>
        <w:t>Постоје различити епистемолошк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sr-Latn-RS"/>
        </w:rPr>
        <w:t>o-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sr-Cyrl-RS"/>
        </w:rPr>
        <w:t xml:space="preserve">методолошки 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ru-RU"/>
        </w:rPr>
        <w:t xml:space="preserve">приступи у истраживању у педагогији. Избор приступа истраживања 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sr-Cyrl-RS"/>
        </w:rPr>
        <w:t>условљен је природом проблема који се проучава, али и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ru-RU"/>
        </w:rPr>
        <w:t xml:space="preserve"> начин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sr-Cyrl-RS"/>
        </w:rPr>
        <w:t>ом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ru-RU"/>
        </w:rPr>
        <w:t xml:space="preserve"> на који истраживач посматра свет и схвата стварност.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sr-Cyrl-RS"/>
        </w:rPr>
        <w:t xml:space="preserve"> У овом раду анализира се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ru-RU"/>
        </w:rPr>
        <w:t xml:space="preserve"> начин на који представници херменеутике поимају стварност, сазнање, природу и начин настанка знања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sr-Cyrl-RS"/>
        </w:rPr>
        <w:t xml:space="preserve">, али и </w:t>
      </w:r>
      <w:r>
        <w:rPr>
          <w:rStyle w:val="10"/>
          <w:rFonts w:hint="default" w:ascii="Times New Roman" w:hAnsi="Times New Roman" w:cs="Times New Roman"/>
          <w:sz w:val="24"/>
          <w:szCs w:val="24"/>
          <w:lang w:val="ru-RU"/>
        </w:rPr>
        <w:t>како поменута схватања утичу на методологију истраживања у педагогији.</w:t>
      </w:r>
    </w:p>
    <w:p w14:paraId="73FDD7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360" w:lineRule="auto"/>
        <w:ind w:left="0" w:firstLine="1134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За педагогију као друштвено-хуманистичку науку, значајно је схватање представника херменеутичког приступа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да је предмет друштвених наука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квалитативно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другачији од предмета природних наука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и да самим тим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методологија истраживања мора бити битно различити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 Став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се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појаве из области дру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ш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твених наука не могу објашњавати и описивати, већ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да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је потребно одредити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им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значење и смисао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допринео је да се одређени теоријско-методолошки проблеми педагогије анализирају из другачије перспективе.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С тим у вези х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ерменеутички приступ скренуо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пажњу на значај и потребу продубљ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ног проучавања смисла одређених појава, догађаја или процеса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. Прихвата се становиште да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Cyrl-RS"/>
        </w:rPr>
        <w:t xml:space="preserve">је природа педагошких појава таква да се оне често не могу квантитативно изразити и мерити. Стога, мења се приступ и начин истраживања педагошких проблема. Истиче се значај познавања контекста, друштвено-историјских услова, али и значаја проучавања односа између дела и целине истраживаног проблема.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Херменеутички круг је пронашао своје место у теорији, али и у пракси васпитно-образовног рада. Данас поједине врсте истраживања настоје да појаве проучавају циклично и кроз етапе, као пример може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навести акциона истраживања.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Осим тога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васпитно-образовној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пракси евалуација рада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може се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темељи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ти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на концепту херменеутичког круга.</w:t>
      </w:r>
    </w:p>
    <w:p w14:paraId="1D84B8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360" w:lineRule="auto"/>
        <w:ind w:left="0" w:firstLine="1134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Када се разматрају ограничења херменеутичког приступа истраживању у педагогији углавном се указује да је херменеутика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пре свега филозофија, а од истраживача се очекује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да њене постулате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примени у истраживању. То значи да је потребно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тежити даљој разради херменеутичког приступа у истраживању у педагогији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 У обзир треба узети и чињеницу да не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постоји довољно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педагошке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литературе која говори о овом проблему,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нарочито не код нас.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Противници херменеутичког приступа највећи недостатак виде у занемаривању долажења до знања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која су универзална и од општег значаја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, што је са становишта сваке науке неопходни услов њеног постојања.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sr-Cyrl-RS"/>
        </w:rPr>
        <w:t xml:space="preserve">Због активног учествовања истраживача и испитаника у процесу истраживања као ограничење поједини аутори наводе и потенцијалну пристрасност у резултатима. У погледу реализације поступак херменеутички оријентисаног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истраживања је сложен, а за истраживача методолошки захтеван.</w:t>
      </w:r>
    </w:p>
    <w:p w14:paraId="60821B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360" w:lineRule="auto"/>
        <w:ind w:left="0" w:firstLine="1134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sr-Latn-RS"/>
        </w:rPr>
      </w:pPr>
    </w:p>
    <w:p w14:paraId="40B96A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60" w:lineRule="auto"/>
        <w:ind w:left="1200" w:leftChars="-5" w:hanging="1212" w:hangingChars="50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highlight w:val="none"/>
          <w:lang w:val="sr-Latn-RS"/>
        </w:rPr>
      </w:pPr>
      <w:r>
        <w:rPr>
          <w:rFonts w:hint="default" w:ascii="Times New Roman" w:hAnsi="Times New Roman" w:eastAsia="SimSun" w:cs="Times New Roman"/>
          <w:sz w:val="24"/>
          <w:szCs w:val="24"/>
          <w:highlight w:val="none"/>
        </w:rPr>
        <w:t xml:space="preserve">Antonijević, R., Nikolić, N., Mrvoš, I. (2023). Equity in the education of gifted students. U: Radulović, M., Trajković, M. (Eds.), </w:t>
      </w:r>
      <w:r>
        <w:rPr>
          <w:rFonts w:hint="default" w:ascii="Times New Roman" w:hAnsi="Times New Roman" w:eastAsia="SimSun" w:cs="Times New Roman"/>
          <w:i/>
          <w:iCs/>
          <w:sz w:val="24"/>
          <w:szCs w:val="24"/>
          <w:highlight w:val="none"/>
        </w:rPr>
        <w:t xml:space="preserve">Towards a more equitable education: from research to change 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</w:rPr>
        <w:t>(pp.124-128). Belgrade: Institute for Educational Research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  <w:lang w:val="sr-Latn-RS"/>
        </w:rPr>
        <w:t xml:space="preserve">. </w:t>
      </w:r>
    </w:p>
    <w:p w14:paraId="1A1DA0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134"/>
        <w:jc w:val="both"/>
        <w:textAlignment w:val="auto"/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shd w:val="clear"/>
          <w:lang w:val="en-US" w:eastAsia="zh-CN" w:bidi="ar"/>
        </w:rPr>
        <w:t>Праведност у образовању значи пружање једнаких могућности свим ученицима. Уочавање индивидуалних разлика није основа за дискриминацију, већ начин да се препознају и осигурају услови да сваки ученик може достићи свој пуни потенцијал кроз образовање. У овом контексту, даровити ученици имају право да њихове изузетне способности буду препознате у образовном систему. То се постиже пружањем образовне подршке која препознаје и адекватно одговара на потребе даровитих ученика - кроз изазован садржај, прилагођене методе поучавања и већу аутономију у учењу. При томе, кључно је увести индивидуализацију и диференцијацију у настав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shd w:val="clear"/>
          <w:lang w:val="sr-Cyrl-RS" w:eastAsia="zh-CN" w:bidi="ar"/>
        </w:rPr>
        <w:t>у,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shd w:val="clear"/>
          <w:lang w:val="en-US" w:eastAsia="zh-CN" w:bidi="ar"/>
        </w:rPr>
        <w:t xml:space="preserve"> која не само да одговара јединственом темпу и потребама у учењу даровитих ученика, већ им пружа и прилике да развију своје интересовања, ангажују се у значајним пројектима и сарађују са ученицима сличних интересовања.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 </w:t>
      </w:r>
    </w:p>
    <w:p w14:paraId="188324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134"/>
        <w:jc w:val="both"/>
        <w:textAlignment w:val="auto"/>
        <w:rPr>
          <w:rFonts w:hint="default" w:ascii="Times New Roman" w:hAnsi="Times New Roman" w:eastAsia="SimSun" w:cs="Times New Roman"/>
          <w:kern w:val="0"/>
          <w:sz w:val="24"/>
          <w:szCs w:val="24"/>
          <w:lang w:val="sr-Latn-RS" w:eastAsia="zh-CN" w:bidi="ar"/>
        </w:rPr>
      </w:pPr>
    </w:p>
    <w:p w14:paraId="4059AA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60" w:lineRule="auto"/>
        <w:ind w:left="1200" w:leftChars="-5" w:hanging="1212" w:hangingChars="505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</w:rPr>
      </w:pPr>
      <w:r>
        <w:rPr>
          <w:rFonts w:hint="default" w:ascii="Times New Roman" w:hAnsi="Times New Roman" w:eastAsia="Helvetica Neue" w:cs="Times New Roman"/>
          <w:color w:val="000000"/>
          <w:kern w:val="0"/>
          <w:szCs w:val="24"/>
          <w:highlight w:val="none"/>
          <w:shd w:val="clear" w:color="auto" w:fill="FFFFFF"/>
          <w:lang w:val="sr-Cyrl-RS"/>
        </w:rPr>
        <w:t>Николић, Н., и Антонијевић, Р. (2021). Формативно оцењивање и онлајн настава. У: И. Јеремић, Н. Николић и Н. Коруга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(ур.): </w:t>
      </w:r>
      <w:r>
        <w:rPr>
          <w:rFonts w:hint="default" w:ascii="Times New Roman" w:hAnsi="Times New Roman" w:cs="Times New Roman"/>
          <w:i/>
          <w:szCs w:val="24"/>
          <w:highlight w:val="none"/>
          <w:lang w:val="sr-Cyrl-RS"/>
        </w:rPr>
        <w:t xml:space="preserve">Сусрети педагога – Научни скуп ''Васпитање и образовање у дигиталном окружењу'' 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(103-108). </w:t>
      </w:r>
      <w:r>
        <w:rPr>
          <w:rFonts w:hint="default" w:ascii="Times New Roman" w:hAnsi="Times New Roman" w:cs="Times New Roman"/>
          <w:szCs w:val="24"/>
          <w:highlight w:val="none"/>
          <w:lang w:val="ru-RU"/>
        </w:rPr>
        <w:t>Београд: Педагошко друштво Србије и Институт за педагогију и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андрагогију.</w:t>
      </w:r>
      <w:r>
        <w:rPr>
          <w:rFonts w:hint="default" w:ascii="Times New Roman" w:hAnsi="Times New Roman" w:cs="Times New Roman"/>
          <w:szCs w:val="24"/>
          <w:highlight w:val="none"/>
        </w:rPr>
        <w:t xml:space="preserve"> </w:t>
      </w:r>
    </w:p>
    <w:p w14:paraId="116343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134"/>
        <w:jc w:val="both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Овај рад посвећен је анализи проблема формативног оцењивања у контексту онлајн наставе. </w:t>
      </w:r>
      <w:r>
        <w:rPr>
          <w:rFonts w:hint="default" w:ascii="Times New Roman" w:hAnsi="Times New Roman" w:eastAsia="Helvetica" w:cs="Times New Roman"/>
          <w:color w:val="000000"/>
          <w:kern w:val="0"/>
          <w:sz w:val="24"/>
          <w:szCs w:val="24"/>
          <w:lang w:val="en-US" w:eastAsia="zh-CN" w:bidi="ar"/>
        </w:rPr>
        <w:t xml:space="preserve">Изостанак непосредног контакта између ученика и наставника који је карактеристичан за онлајн наставу може бити превазиђен континуираним формативним проценама датим у току или непосредно после учења. Саставни део формативних процена је информисање ученика о његовом напредовању од стране наставника. То наставник чини давањем повратних информација.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Баријере које се јављају због одсуства непосредне интеракције између ученика и наставника, могу бити превазиђене </w:t>
      </w:r>
      <w:r>
        <w:rPr>
          <w:rFonts w:hint="default" w:ascii="Times New Roman" w:hAnsi="Times New Roman" w:eastAsia="Helvetica" w:cs="Times New Roman"/>
          <w:color w:val="000000"/>
          <w:kern w:val="0"/>
          <w:sz w:val="24"/>
          <w:szCs w:val="24"/>
          <w:lang w:val="en-US" w:eastAsia="zh-CN" w:bidi="ar"/>
        </w:rPr>
        <w:t xml:space="preserve">благовременим и јасним повратним информацијама које посредством дигиталних алата могу ученицима бити испостављени у различитим формама. Повратне информације садржане у формативним проценама треба да буду за ученике јасне, непосредне и да усмеравају будуће учење. </w:t>
      </w: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Иако се формативно оцењивање често у пракси поистовећује са повратним информацијама наставника, треба истаћи да постоје разноврсни приступи формативног оцењивања који се могу користити у онлајн настави. Неки од њих су: електронски портфолио, самопроцена, вршњачке процене, дискусије на мрежи итд. </w:t>
      </w:r>
    </w:p>
    <w:p w14:paraId="13A791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1200" w:leftChars="-5" w:hanging="1212" w:hangingChars="505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</w:rPr>
      </w:pPr>
    </w:p>
    <w:p w14:paraId="5FA3A9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260" w:lineRule="auto"/>
        <w:ind w:left="1122" w:leftChars="-5" w:hanging="1134" w:firstLineChars="0"/>
        <w:jc w:val="both"/>
        <w:textAlignment w:val="auto"/>
        <w:rPr>
          <w:rFonts w:hint="default" w:ascii="Times New Roman" w:hAnsi="Times New Roman" w:cs="Times New Roman"/>
          <w:szCs w:val="24"/>
          <w:lang w:val="sr-Cyrl-CS"/>
        </w:rPr>
      </w:pPr>
      <w:r>
        <w:rPr>
          <w:rFonts w:hint="default" w:ascii="Times New Roman" w:hAnsi="Times New Roman" w:cs="Times New Roman"/>
          <w:szCs w:val="24"/>
          <w:lang w:val="sr-Cyrl-CS"/>
        </w:rPr>
        <w:t xml:space="preserve">Николић, Н., и Антонијевић, Р. (2020). Образовање као фактор културне репродукције и културне продукције. </w:t>
      </w:r>
      <w:r>
        <w:rPr>
          <w:rFonts w:hint="default" w:ascii="Times New Roman" w:hAnsi="Times New Roman" w:cs="Times New Roman"/>
          <w:i/>
          <w:szCs w:val="24"/>
          <w:lang w:val="sr-Cyrl-CS"/>
        </w:rPr>
        <w:t>Баштина</w:t>
      </w:r>
      <w:r>
        <w:rPr>
          <w:rFonts w:hint="default" w:ascii="Times New Roman" w:hAnsi="Times New Roman" w:cs="Times New Roman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i/>
          <w:szCs w:val="24"/>
          <w:lang w:val="sr-Cyrl-CS"/>
        </w:rPr>
        <w:t>51</w:t>
      </w:r>
      <w:r>
        <w:rPr>
          <w:rFonts w:hint="default" w:ascii="Times New Roman" w:hAnsi="Times New Roman" w:cs="Times New Roman"/>
          <w:szCs w:val="24"/>
          <w:lang w:val="sr-Cyrl-CS"/>
        </w:rPr>
        <w:t>, 483-496.</w:t>
      </w:r>
    </w:p>
    <w:p w14:paraId="078051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1134" w:firstLineChars="0"/>
        <w:jc w:val="both"/>
        <w:textAlignment w:val="auto"/>
        <w:rPr>
          <w:rFonts w:hint="default" w:ascii="Times New Roman" w:hAnsi="Times New Roman" w:cs="Times New Roman"/>
          <w:szCs w:val="24"/>
          <w:highlight w:val="none"/>
        </w:rPr>
      </w:pPr>
      <w:r>
        <w:rPr>
          <w:rFonts w:hint="default" w:ascii="Times New Roman" w:hAnsi="Times New Roman" w:cs="Times New Roman"/>
          <w:szCs w:val="24"/>
          <w:highlight w:val="none"/>
        </w:rPr>
        <w:t>Настојећи да се укаже на сложен и динамичан однос и</w:t>
      </w:r>
      <w:r>
        <w:rPr>
          <w:rFonts w:hint="default" w:ascii="Times New Roman" w:hAnsi="Times New Roman" w:cs="Times New Roman"/>
          <w:szCs w:val="24"/>
          <w:highlight w:val="none"/>
          <w:lang w:val="sr-Latn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 xml:space="preserve">узајамну повезаност између појмова образовања и култура, 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>у раду се разматра</w:t>
      </w:r>
      <w:r>
        <w:rPr>
          <w:rFonts w:hint="default" w:ascii="Times New Roman" w:hAnsi="Times New Roman" w:cs="Times New Roman"/>
          <w:szCs w:val="24"/>
          <w:highlight w:val="none"/>
        </w:rPr>
        <w:t xml:space="preserve"> улога образовања у процесу културне репродукције и процесу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културне продукције. Култура, својим значењима и вредностима, прожима у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сваком погледу процес образовања. Образовање представља процес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репродукције, али и процес продукције и трансформације културе. Питање које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се у овом раду анализира је: где се образовање налази између културне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репродукције и културне продукције? Културна репродукција представља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процес којим се настоји да се култура више или мање одржи онаква каква јесте.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Улога образовања у културној репродукцији је вишезначна и може се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посматрати на неколико нивоа, и то: на нивоу колективне културе, унутар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културе и на нивоу индивидуалне културе. Као један од најважнијих посредника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културе између индивидуе и културе, према мишљењу многих аутора издваја се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школа. Прописивањем наставних планова и програма који су у знатном делу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обавезни и универзални, омогућава се да се свој деци изложи одређени скуп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идеја, знања, веровања, вредности и ставова. Димензије наставног плана и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програма, чијом анализом се може пратити улога школе у културној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репродукцији, jeсу: циљеви; наставни садржаји и наставне методе. Скривени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курикулум у образовању има значајно место у обављању функције културне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репродукције. Школа успешно врши културну репродукцију зато што и она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сама као и култура представља одређено живљење. Начин на који се одвија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живљење у школи биће близак начину живљења културе којој школа припада. С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друге стране, у образовању се проналази потенцијал за увођење новина и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промена. То значи да образовање доприноси и културној продукцији. Да би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заиста доприносило културној продукцији, извесне новине је потребно увести у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школу. Присталице социо-културног приступа предлажу бројне могућности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организације процеса образовања тако да буду у служби продукције. Неке од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могућности су: трансформисање наставног дискурса, грађење ученичке мреже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писмености, трансформисање начина оцењивања. Неопходно је да се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образовање заснива на интеракцијама и дијалогу уз активну улогу ученика, јер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једино тако ученике ћемо навикавати да размишљају и делују на продуктиван</w:t>
      </w:r>
      <w:r>
        <w:rPr>
          <w:rFonts w:hint="default" w:ascii="Times New Roman" w:hAnsi="Times New Roman" w:cs="Times New Roman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Cs w:val="24"/>
          <w:highlight w:val="none"/>
        </w:rPr>
        <w:t>начин.</w:t>
      </w:r>
    </w:p>
    <w:p w14:paraId="5BD6DB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</w:p>
    <w:p w14:paraId="0AA463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5D9AB3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134"/>
        <w:jc w:val="both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sr-Latn-RS" w:eastAsia="zh-CN"/>
        </w:rPr>
      </w:pPr>
    </w:p>
    <w:p w14:paraId="3110AD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08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На основу претходне анализе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научно-истраживачког рада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комисија констатује да се на конкурс пријавио компетентан кандидат.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Д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осад је објавила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12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радова у научним часописима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, од тога два рада у часописима индексираним на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RS"/>
        </w:rPr>
        <w:t xml:space="preserve">SCI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листи, као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и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>16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саопштења штампана у целини са међународних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и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националних скупова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Проблемима које проучава приступа темељно, радови су теоријски ваљано засновани и методолошки коректно вођени, уз коришћење обимне педагошке литературе на српском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енглеском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језику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Радови које објављује представљају значајан допринос развоју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педагошке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дисциплине којом се бави. Такође, педагошки рад може се оценити високом оценом, јер квалитетно изводи наставу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на сва три нивоа студија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, што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потврђују и оцене добијене у студентској евалуацији. Континуирано прати рад студената и пружа им значајну помоћ у учењу и извршавању наставних обавеза. </w:t>
      </w:r>
    </w:p>
    <w:p w14:paraId="62BF6A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1080"/>
        <w:jc w:val="both"/>
        <w:textAlignment w:val="auto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На основу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наведеног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 Комисија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сматра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 да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Наташа Николић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 испуњава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услове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l-SI"/>
        </w:rPr>
        <w:t xml:space="preserve">за избор у звање за које конкурише, те стога предлаже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 Изборном већу Филозофског факултета да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је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 xml:space="preserve">изабере у звање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ванредног професора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за ужу научну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област Општа педагогија са методологијом и историја педагогије, на Одељењу за педагогију и андрагогију, са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</w:rPr>
        <w:t>пуним радним временом, на одређено време од 5 година</w:t>
      </w:r>
      <w:r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CS"/>
        </w:rPr>
        <w:t>.</w:t>
      </w:r>
    </w:p>
    <w:p w14:paraId="74ED68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080"/>
        <w:jc w:val="both"/>
        <w:textAlignment w:val="auto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RS"/>
        </w:rPr>
      </w:pPr>
    </w:p>
    <w:p w14:paraId="2F496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080"/>
        <w:jc w:val="both"/>
        <w:textAlignment w:val="auto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RS"/>
        </w:rPr>
      </w:pPr>
    </w:p>
    <w:p w14:paraId="0A4368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080"/>
        <w:jc w:val="both"/>
        <w:textAlignment w:val="auto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RS"/>
        </w:rPr>
      </w:pPr>
    </w:p>
    <w:p w14:paraId="1D92A5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080"/>
        <w:jc w:val="both"/>
        <w:textAlignment w:val="auto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RS"/>
        </w:rPr>
      </w:pPr>
    </w:p>
    <w:p w14:paraId="74A5C2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080"/>
        <w:jc w:val="both"/>
        <w:textAlignment w:val="auto"/>
        <w:rPr>
          <w:rFonts w:hint="default" w:ascii="Times New Roman" w:hAnsi="Times New Roman" w:eastAsia="TimesNewRomanPSMT" w:cs="Times New Roman"/>
          <w:b w:val="0"/>
          <w:bCs w:val="0"/>
          <w:color w:val="000000"/>
          <w:sz w:val="24"/>
          <w:szCs w:val="24"/>
          <w:lang w:val="sr-Latn-RS"/>
        </w:rPr>
      </w:pPr>
    </w:p>
    <w:p w14:paraId="04E9A2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sz w:val="20"/>
          <w:szCs w:val="20"/>
        </w:rPr>
      </w:pPr>
    </w:p>
    <w:p w14:paraId="037D93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highlight w:val="none"/>
          <w:lang w:val="sr-Cyrl-CS"/>
        </w:rPr>
      </w:pPr>
      <w:r>
        <w:rPr>
          <w:rFonts w:hint="default" w:ascii="Times New Roman" w:hAnsi="Times New Roman" w:cs="Times New Roman"/>
          <w:lang w:val="sr-Cyrl-CS"/>
        </w:rPr>
        <w:t xml:space="preserve">У Београду, </w:t>
      </w:r>
      <w:r>
        <w:rPr>
          <w:rFonts w:hint="default" w:ascii="Times New Roman" w:hAnsi="Times New Roman" w:cs="Times New Roman"/>
          <w:highlight w:val="none"/>
          <w:lang w:val="sr-Cyrl-RS"/>
        </w:rPr>
        <w:t>23</w:t>
      </w:r>
      <w:r>
        <w:rPr>
          <w:rFonts w:hint="default" w:ascii="Times New Roman" w:hAnsi="Times New Roman" w:cs="Times New Roman"/>
          <w:highlight w:val="none"/>
          <w:lang w:val="sr-Latn-RS"/>
        </w:rPr>
        <w:t>.</w:t>
      </w:r>
      <w:r>
        <w:rPr>
          <w:rFonts w:hint="default" w:ascii="Times New Roman" w:hAnsi="Times New Roman" w:cs="Times New Roman"/>
          <w:highlight w:val="none"/>
          <w:lang w:val="sr-Cyrl-CS"/>
        </w:rPr>
        <w:t xml:space="preserve"> </w:t>
      </w:r>
      <w:r>
        <w:rPr>
          <w:rFonts w:hint="default" w:ascii="Times New Roman" w:hAnsi="Times New Roman" w:cs="Times New Roman"/>
          <w:highlight w:val="none"/>
          <w:lang w:val="sr-Cyrl-RS"/>
        </w:rPr>
        <w:t xml:space="preserve">август </w:t>
      </w:r>
      <w:r>
        <w:rPr>
          <w:rFonts w:hint="default" w:ascii="Times New Roman" w:hAnsi="Times New Roman" w:cs="Times New Roman"/>
          <w:highlight w:val="none"/>
          <w:lang w:val="sr-Cyrl-CS"/>
        </w:rPr>
        <w:t>20</w:t>
      </w:r>
      <w:r>
        <w:rPr>
          <w:rFonts w:hint="default" w:ascii="Times New Roman" w:hAnsi="Times New Roman" w:cs="Times New Roman"/>
          <w:highlight w:val="none"/>
          <w:lang w:val="sr-Cyrl-RS"/>
        </w:rPr>
        <w:t>24</w:t>
      </w:r>
      <w:r>
        <w:rPr>
          <w:rFonts w:hint="default" w:ascii="Times New Roman" w:hAnsi="Times New Roman" w:cs="Times New Roman"/>
          <w:highlight w:val="none"/>
          <w:lang w:val="sr-Cyrl-CS"/>
        </w:rPr>
        <w:t>. године.</w:t>
      </w:r>
    </w:p>
    <w:p w14:paraId="5EADF0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highlight w:val="none"/>
          <w:lang w:val="en-US"/>
        </w:rPr>
      </w:pPr>
      <w:bookmarkStart w:id="0" w:name="_GoBack"/>
      <w:bookmarkEnd w:id="0"/>
    </w:p>
    <w:p w14:paraId="271DE2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lang w:val="sr-Cyrl-CS"/>
        </w:rPr>
      </w:pPr>
    </w:p>
    <w:p w14:paraId="51FA64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КОМИСИЈА</w:t>
      </w:r>
    </w:p>
    <w:p w14:paraId="23F2F8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Проф. др Радован Антонијевић, редовни професор</w:t>
      </w:r>
    </w:p>
    <w:p w14:paraId="29375A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Београду</w:t>
      </w:r>
    </w:p>
    <w:p w14:paraId="0930F7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9431C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10018B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 w14:paraId="0E3DFA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1DF215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Проф. др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Александар Тадић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ванредни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професор</w:t>
      </w:r>
    </w:p>
    <w:p w14:paraId="59B30D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Филозофски факултет Универзитета у Београду</w:t>
      </w:r>
    </w:p>
    <w:p w14:paraId="331B66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57BA8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6E9A6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____________________________</w:t>
      </w:r>
    </w:p>
    <w:p w14:paraId="03A65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266BAF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Проф. др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Драгиша Вучинић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ванредни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професор</w:t>
      </w:r>
    </w:p>
    <w:p w14:paraId="52145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Филозофски факултет Универзитета у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RS"/>
        </w:rPr>
        <w:t>Приштини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- Косовска Митровица</w:t>
      </w:r>
    </w:p>
    <w:p w14:paraId="2F2376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3E8D4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</w:p>
    <w:p w14:paraId="28CC91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694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sr-Cyrl-CS"/>
        </w:rPr>
        <w:t>___________________________</w:t>
      </w:r>
    </w:p>
    <w:sectPr>
      <w:headerReference r:id="rId5" w:type="default"/>
      <w:headerReference r:id="rId6" w:type="even"/>
      <w:pgSz w:w="12240" w:h="15840"/>
      <w:pgMar w:top="1440" w:right="1800" w:bottom="1440" w:left="1800" w:header="709" w:footer="709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E89C7">
    <w:pPr>
      <w:pStyle w:val="7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6</w:t>
    </w:r>
    <w:r>
      <w:fldChar w:fldCharType="end"/>
    </w:r>
  </w:p>
  <w:p w14:paraId="6EC1A766">
    <w:pPr>
      <w:pStyle w:val="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76C08">
    <w:pPr>
      <w:pStyle w:val="7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26B2B919">
    <w:pPr>
      <w:pStyle w:val="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20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E4806"/>
    <w:rsid w:val="00031881"/>
    <w:rsid w:val="0006084F"/>
    <w:rsid w:val="000617A8"/>
    <w:rsid w:val="000624FB"/>
    <w:rsid w:val="00066B30"/>
    <w:rsid w:val="000B6BEF"/>
    <w:rsid w:val="000C0596"/>
    <w:rsid w:val="000F1EC8"/>
    <w:rsid w:val="00101FD0"/>
    <w:rsid w:val="0010714F"/>
    <w:rsid w:val="001223CF"/>
    <w:rsid w:val="00183993"/>
    <w:rsid w:val="00192FD0"/>
    <w:rsid w:val="001A12E1"/>
    <w:rsid w:val="001B73EB"/>
    <w:rsid w:val="001C6A34"/>
    <w:rsid w:val="001D17D4"/>
    <w:rsid w:val="001E2482"/>
    <w:rsid w:val="001E415A"/>
    <w:rsid w:val="001F4637"/>
    <w:rsid w:val="00201313"/>
    <w:rsid w:val="00207FCE"/>
    <w:rsid w:val="00220F78"/>
    <w:rsid w:val="00226B4C"/>
    <w:rsid w:val="002477CC"/>
    <w:rsid w:val="00264785"/>
    <w:rsid w:val="002847EA"/>
    <w:rsid w:val="002A0CF4"/>
    <w:rsid w:val="002A4783"/>
    <w:rsid w:val="002B69A4"/>
    <w:rsid w:val="002B7C1C"/>
    <w:rsid w:val="002C1125"/>
    <w:rsid w:val="00311CB9"/>
    <w:rsid w:val="00324924"/>
    <w:rsid w:val="00340C82"/>
    <w:rsid w:val="003635EF"/>
    <w:rsid w:val="00367E7A"/>
    <w:rsid w:val="00393653"/>
    <w:rsid w:val="003A1D5A"/>
    <w:rsid w:val="003B1CEB"/>
    <w:rsid w:val="003C3B9D"/>
    <w:rsid w:val="003C7039"/>
    <w:rsid w:val="003D01DD"/>
    <w:rsid w:val="003E0CA4"/>
    <w:rsid w:val="003F2973"/>
    <w:rsid w:val="004057E2"/>
    <w:rsid w:val="00410877"/>
    <w:rsid w:val="0043569E"/>
    <w:rsid w:val="00442848"/>
    <w:rsid w:val="0044411B"/>
    <w:rsid w:val="00445C87"/>
    <w:rsid w:val="004545A1"/>
    <w:rsid w:val="00482E86"/>
    <w:rsid w:val="00485B44"/>
    <w:rsid w:val="00490B57"/>
    <w:rsid w:val="004A10A5"/>
    <w:rsid w:val="004D3227"/>
    <w:rsid w:val="004F6E45"/>
    <w:rsid w:val="005061D1"/>
    <w:rsid w:val="0052017C"/>
    <w:rsid w:val="00533819"/>
    <w:rsid w:val="00563013"/>
    <w:rsid w:val="0057342C"/>
    <w:rsid w:val="0057422B"/>
    <w:rsid w:val="00583B04"/>
    <w:rsid w:val="005856D9"/>
    <w:rsid w:val="00585858"/>
    <w:rsid w:val="00591859"/>
    <w:rsid w:val="005A353F"/>
    <w:rsid w:val="005B5018"/>
    <w:rsid w:val="005C280D"/>
    <w:rsid w:val="005E079D"/>
    <w:rsid w:val="005E3AB5"/>
    <w:rsid w:val="005E3E63"/>
    <w:rsid w:val="006175FC"/>
    <w:rsid w:val="0063008A"/>
    <w:rsid w:val="00632250"/>
    <w:rsid w:val="00653EEF"/>
    <w:rsid w:val="006654DD"/>
    <w:rsid w:val="0068365B"/>
    <w:rsid w:val="00684B8C"/>
    <w:rsid w:val="006A2328"/>
    <w:rsid w:val="006A2D36"/>
    <w:rsid w:val="006D22C4"/>
    <w:rsid w:val="006D5C5F"/>
    <w:rsid w:val="006F121C"/>
    <w:rsid w:val="0072076F"/>
    <w:rsid w:val="00735982"/>
    <w:rsid w:val="00736BE8"/>
    <w:rsid w:val="00744627"/>
    <w:rsid w:val="00745682"/>
    <w:rsid w:val="00750280"/>
    <w:rsid w:val="007563A3"/>
    <w:rsid w:val="00770CB8"/>
    <w:rsid w:val="00772FD7"/>
    <w:rsid w:val="00773CB3"/>
    <w:rsid w:val="00791D8D"/>
    <w:rsid w:val="00794124"/>
    <w:rsid w:val="00802B59"/>
    <w:rsid w:val="00803FEE"/>
    <w:rsid w:val="00806D72"/>
    <w:rsid w:val="00813698"/>
    <w:rsid w:val="0083455C"/>
    <w:rsid w:val="0083588C"/>
    <w:rsid w:val="00861CA2"/>
    <w:rsid w:val="00880724"/>
    <w:rsid w:val="00894641"/>
    <w:rsid w:val="008A0975"/>
    <w:rsid w:val="008D51AB"/>
    <w:rsid w:val="008F3883"/>
    <w:rsid w:val="00944DA7"/>
    <w:rsid w:val="00962D6B"/>
    <w:rsid w:val="009754F4"/>
    <w:rsid w:val="009B047F"/>
    <w:rsid w:val="009E4D49"/>
    <w:rsid w:val="009E6AA5"/>
    <w:rsid w:val="00A27355"/>
    <w:rsid w:val="00A55126"/>
    <w:rsid w:val="00A81D5A"/>
    <w:rsid w:val="00A921F7"/>
    <w:rsid w:val="00A941F8"/>
    <w:rsid w:val="00AA24DF"/>
    <w:rsid w:val="00AA3174"/>
    <w:rsid w:val="00AB6D52"/>
    <w:rsid w:val="00AC0C31"/>
    <w:rsid w:val="00AE78CF"/>
    <w:rsid w:val="00AE7B9A"/>
    <w:rsid w:val="00AF4294"/>
    <w:rsid w:val="00B04992"/>
    <w:rsid w:val="00B103A9"/>
    <w:rsid w:val="00B21891"/>
    <w:rsid w:val="00B24E72"/>
    <w:rsid w:val="00B75905"/>
    <w:rsid w:val="00B86DF2"/>
    <w:rsid w:val="00B97552"/>
    <w:rsid w:val="00BA3838"/>
    <w:rsid w:val="00BC0CF4"/>
    <w:rsid w:val="00BF4EB2"/>
    <w:rsid w:val="00C00633"/>
    <w:rsid w:val="00C1337B"/>
    <w:rsid w:val="00C220EF"/>
    <w:rsid w:val="00C3300A"/>
    <w:rsid w:val="00C65CE5"/>
    <w:rsid w:val="00C96AB9"/>
    <w:rsid w:val="00CC6D58"/>
    <w:rsid w:val="00CF5089"/>
    <w:rsid w:val="00D0011B"/>
    <w:rsid w:val="00D024A7"/>
    <w:rsid w:val="00D0428D"/>
    <w:rsid w:val="00D06010"/>
    <w:rsid w:val="00D07D09"/>
    <w:rsid w:val="00D12C33"/>
    <w:rsid w:val="00D16A15"/>
    <w:rsid w:val="00D31D35"/>
    <w:rsid w:val="00D33274"/>
    <w:rsid w:val="00D37B96"/>
    <w:rsid w:val="00D463E1"/>
    <w:rsid w:val="00D6368D"/>
    <w:rsid w:val="00D64B50"/>
    <w:rsid w:val="00D65CCB"/>
    <w:rsid w:val="00D72B0E"/>
    <w:rsid w:val="00D74C12"/>
    <w:rsid w:val="00D91678"/>
    <w:rsid w:val="00DD108F"/>
    <w:rsid w:val="00DE487E"/>
    <w:rsid w:val="00DE5BEC"/>
    <w:rsid w:val="00DF4D8E"/>
    <w:rsid w:val="00E133D9"/>
    <w:rsid w:val="00E2078B"/>
    <w:rsid w:val="00E23014"/>
    <w:rsid w:val="00E41246"/>
    <w:rsid w:val="00E41C87"/>
    <w:rsid w:val="00E4744B"/>
    <w:rsid w:val="00E92FAB"/>
    <w:rsid w:val="00E943ED"/>
    <w:rsid w:val="00EA23D4"/>
    <w:rsid w:val="00ED0ACE"/>
    <w:rsid w:val="00EF152C"/>
    <w:rsid w:val="00F1731A"/>
    <w:rsid w:val="00F21481"/>
    <w:rsid w:val="00F3206F"/>
    <w:rsid w:val="00F46282"/>
    <w:rsid w:val="00F50E82"/>
    <w:rsid w:val="00F5392A"/>
    <w:rsid w:val="00F54273"/>
    <w:rsid w:val="00F578F0"/>
    <w:rsid w:val="00F60D66"/>
    <w:rsid w:val="00F657D7"/>
    <w:rsid w:val="00F65E88"/>
    <w:rsid w:val="00FA76B6"/>
    <w:rsid w:val="00FB5481"/>
    <w:rsid w:val="00FB700C"/>
    <w:rsid w:val="00FE20B3"/>
    <w:rsid w:val="00FE4A7D"/>
    <w:rsid w:val="00FE4FD7"/>
    <w:rsid w:val="00FE5B7E"/>
    <w:rsid w:val="00FF6B15"/>
    <w:rsid w:val="0FF5284B"/>
    <w:rsid w:val="1AA54A47"/>
    <w:rsid w:val="1C681756"/>
    <w:rsid w:val="1C833C55"/>
    <w:rsid w:val="1CED64CC"/>
    <w:rsid w:val="22F43C96"/>
    <w:rsid w:val="25A74B51"/>
    <w:rsid w:val="27665A32"/>
    <w:rsid w:val="27724E59"/>
    <w:rsid w:val="2D092D6F"/>
    <w:rsid w:val="3137414F"/>
    <w:rsid w:val="32025ADC"/>
    <w:rsid w:val="32E26C1A"/>
    <w:rsid w:val="3F7E79C8"/>
    <w:rsid w:val="42A57DB0"/>
    <w:rsid w:val="4A6F73E2"/>
    <w:rsid w:val="4DD520E1"/>
    <w:rsid w:val="588A419F"/>
    <w:rsid w:val="5D1C050D"/>
    <w:rsid w:val="5D4208EB"/>
    <w:rsid w:val="5DB00021"/>
    <w:rsid w:val="5FB23E7A"/>
    <w:rsid w:val="62A24664"/>
    <w:rsid w:val="69C4339D"/>
    <w:rsid w:val="6A62217D"/>
    <w:rsid w:val="6EFB6F1C"/>
    <w:rsid w:val="704E7B55"/>
    <w:rsid w:val="727E3FB3"/>
    <w:rsid w:val="751E4806"/>
    <w:rsid w:val="76E31064"/>
    <w:rsid w:val="7874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hint="eastAsia" w:ascii="Calibri" w:hAnsi="Calibri" w:cs="Times New Roman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ody Text Indent 2"/>
    <w:basedOn w:val="1"/>
    <w:qFormat/>
    <w:uiPriority w:val="0"/>
    <w:pPr>
      <w:spacing w:after="120" w:line="480" w:lineRule="auto"/>
      <w:ind w:left="360"/>
    </w:pPr>
  </w:style>
  <w:style w:type="character" w:styleId="5">
    <w:name w:val="Emphasis"/>
    <w:basedOn w:val="2"/>
    <w:qFormat/>
    <w:uiPriority w:val="0"/>
    <w:rPr>
      <w:i/>
      <w:iCs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qFormat/>
    <w:uiPriority w:val="0"/>
    <w:pPr>
      <w:tabs>
        <w:tab w:val="center" w:pos="4702"/>
        <w:tab w:val="right" w:pos="9405"/>
      </w:tabs>
    </w:p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  <w:rPr>
      <w:lang w:eastAsia="zh-CN"/>
    </w:rPr>
  </w:style>
  <w:style w:type="character" w:styleId="9">
    <w:name w:val="page number"/>
    <w:basedOn w:val="2"/>
    <w:qFormat/>
    <w:uiPriority w:val="0"/>
  </w:style>
  <w:style w:type="character" w:customStyle="1" w:styleId="10">
    <w:name w:val="long_text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&#353;a\Desktop\izbor%20u%20docenta\REFERAT%20natasa%20nikolic%202019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REFERAT natasa nikolic 2019</Template>
  <Pages>9</Pages>
  <Words>1780</Words>
  <Characters>10152</Characters>
  <Lines>84</Lines>
  <Paragraphs>23</Paragraphs>
  <TotalTime>14</TotalTime>
  <ScaleCrop>false</ScaleCrop>
  <LinksUpToDate>false</LinksUpToDate>
  <CharactersWithSpaces>11909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2019-05-31T13:26:00Z</dcterms:created>
  <dc:creator>Nataša</dc:creator>
  <cp:lastModifiedBy>natasa</cp:lastModifiedBy>
  <dcterms:modified xsi:type="dcterms:W3CDTF">2024-08-16T11:57:12Z</dcterms:modified>
  <dc:title>ИЗБОРНОМ ВЕЋУ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BDC37F27605443DA92CDF166076B1106_13</vt:lpwstr>
  </property>
</Properties>
</file>